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>3GPP TSG-RAN WG2 NR Ad hoc 1801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bookmarkStart w:id="2" w:name="_GoBack"/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>
        <w:rPr>
          <w:rFonts w:cs="Arial"/>
          <w:b/>
          <w:noProof/>
          <w:sz w:val="24"/>
          <w:szCs w:val="24"/>
          <w:lang w:eastAsia="zh-CN"/>
        </w:rPr>
        <w:t>8</w:t>
      </w:r>
      <w:r w:rsidR="00431037">
        <w:rPr>
          <w:rFonts w:cs="Arial"/>
          <w:b/>
          <w:noProof/>
          <w:sz w:val="24"/>
          <w:szCs w:val="24"/>
          <w:lang w:eastAsia="zh-CN"/>
        </w:rPr>
        <w:t>00412</w:t>
      </w:r>
    </w:p>
    <w:bookmarkEnd w:id="2"/>
    <w:p w:rsidR="00DB2533" w:rsidRPr="00DB2533" w:rsidRDefault="00DB2533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DB2533">
        <w:rPr>
          <w:rFonts w:ascii="Arial" w:eastAsia="MS Mincho" w:hAnsi="Arial"/>
          <w:b/>
          <w:sz w:val="24"/>
          <w:szCs w:val="24"/>
          <w:lang w:eastAsia="x-none"/>
        </w:rPr>
        <w:t>Vancouver, Canada, 22nd January – 26th January 2018</w:t>
      </w:r>
    </w:p>
    <w:p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  <w:t>1</w:t>
      </w:r>
      <w:r w:rsidR="00DB2533">
        <w:rPr>
          <w:rFonts w:ascii="Arial" w:hAnsi="Arial" w:cs="Arial"/>
          <w:sz w:val="24"/>
          <w:szCs w:val="24"/>
        </w:rPr>
        <w:t>1</w:t>
      </w:r>
      <w:r w:rsidRPr="002328F2">
        <w:rPr>
          <w:rFonts w:ascii="Arial" w:hAnsi="Arial" w:cs="Arial"/>
          <w:sz w:val="24"/>
          <w:szCs w:val="24"/>
        </w:rPr>
        <w:t>.</w:t>
      </w:r>
      <w:r w:rsidR="00DB2533">
        <w:rPr>
          <w:rFonts w:ascii="Arial" w:hAnsi="Arial" w:cs="Arial"/>
          <w:sz w:val="24"/>
          <w:szCs w:val="24"/>
        </w:rPr>
        <w:t>1</w:t>
      </w:r>
    </w:p>
    <w:p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BA3A37">
        <w:rPr>
          <w:rFonts w:ascii="Arial" w:hAnsi="Arial" w:cs="Arial"/>
          <w:sz w:val="24"/>
          <w:szCs w:val="24"/>
        </w:rPr>
        <w:t xml:space="preserve">IAB </w:t>
      </w:r>
      <w:r w:rsidR="00281E81">
        <w:rPr>
          <w:rFonts w:ascii="Arial" w:hAnsi="Arial" w:cs="Arial"/>
          <w:sz w:val="24"/>
          <w:szCs w:val="24"/>
        </w:rPr>
        <w:t>architecture</w:t>
      </w:r>
      <w:r w:rsidR="00BA3A37">
        <w:rPr>
          <w:rFonts w:ascii="Arial" w:hAnsi="Arial" w:cs="Arial"/>
          <w:sz w:val="24"/>
          <w:szCs w:val="24"/>
        </w:rPr>
        <w:t xml:space="preserve"> </w:t>
      </w:r>
      <w:r w:rsidR="006A6527">
        <w:rPr>
          <w:rFonts w:ascii="Arial" w:hAnsi="Arial" w:cs="Arial"/>
          <w:sz w:val="24"/>
          <w:szCs w:val="24"/>
        </w:rPr>
        <w:t>considerations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:rsidR="000360A3" w:rsidRPr="008F650A" w:rsidRDefault="00176A7B" w:rsidP="000360A3">
      <w:pPr>
        <w:rPr>
          <w:bCs/>
          <w:iCs/>
          <w:sz w:val="22"/>
        </w:rPr>
      </w:pPr>
      <w:r>
        <w:rPr>
          <w:sz w:val="22"/>
        </w:rPr>
        <w:t>SA1 has defined the following requirements for self-backhauling</w:t>
      </w:r>
      <w:r w:rsidR="000605E7">
        <w:rPr>
          <w:bCs/>
          <w:iCs/>
          <w:sz w:val="22"/>
        </w:rPr>
        <w:t xml:space="preserve"> </w:t>
      </w:r>
      <w:r w:rsidR="000360A3" w:rsidRPr="008F650A">
        <w:rPr>
          <w:bCs/>
          <w:iCs/>
          <w:sz w:val="22"/>
        </w:rPr>
        <w:t>[1]: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bookmarkStart w:id="3" w:name="_Hlk502996877"/>
      <w:r w:rsidRPr="00EF3997">
        <w:rPr>
          <w:bCs/>
        </w:rPr>
        <w:t>The 5G network shall enable operators to support wireless self-backhaul using NR and E-UTRA.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and efficient wireless self-backhaul for both indoor and outdoor scenarios.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partitioning of radio resources between access and backhaul functions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 autonomous configuration of access and wireless self-backhaul functions.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multi-hop wireless self-backhauling.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autonomous adaptation on wireless self-backhaul network topologies to minimize service disruptions.</w:t>
      </w:r>
    </w:p>
    <w:p w:rsidR="002F158E" w:rsidRPr="00EF3997" w:rsidRDefault="002F158E" w:rsidP="00C679A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</w:pPr>
      <w:r w:rsidRPr="00EF3997">
        <w:rPr>
          <w:bCs/>
        </w:rPr>
        <w:t>The 5G network shall support topologically redundant connectivity</w:t>
      </w:r>
      <w:r w:rsidRPr="00EF3997">
        <w:t xml:space="preserve"> on the wireless self-backhaul.</w:t>
      </w:r>
    </w:p>
    <w:bookmarkEnd w:id="3"/>
    <w:p w:rsidR="002F158E" w:rsidRDefault="002F158E" w:rsidP="000605E7">
      <w:pPr>
        <w:rPr>
          <w:sz w:val="22"/>
        </w:rPr>
      </w:pPr>
    </w:p>
    <w:p w:rsidR="000605E7" w:rsidRPr="008F650A" w:rsidRDefault="00176A7B" w:rsidP="000605E7">
      <w:pPr>
        <w:rPr>
          <w:bCs/>
          <w:iCs/>
          <w:sz w:val="22"/>
        </w:rPr>
      </w:pPr>
      <w:r>
        <w:rPr>
          <w:sz w:val="22"/>
        </w:rPr>
        <w:t>The Integrated Access and Backhaul Study Item Document further defines the following requirements</w:t>
      </w:r>
      <w:r w:rsidR="000605E7">
        <w:rPr>
          <w:sz w:val="22"/>
        </w:rPr>
        <w:t xml:space="preserve"> </w:t>
      </w:r>
      <w:r w:rsidR="000605E7" w:rsidRPr="008F650A">
        <w:rPr>
          <w:bCs/>
          <w:iCs/>
          <w:sz w:val="22"/>
        </w:rPr>
        <w:t>[</w:t>
      </w:r>
      <w:r>
        <w:rPr>
          <w:bCs/>
          <w:iCs/>
          <w:sz w:val="22"/>
        </w:rPr>
        <w:t>2</w:t>
      </w:r>
      <w:r w:rsidR="000605E7" w:rsidRPr="008F650A">
        <w:rPr>
          <w:bCs/>
          <w:iCs/>
          <w:sz w:val="22"/>
        </w:rPr>
        <w:t>]:</w:t>
      </w:r>
    </w:p>
    <w:p w:rsidR="002F158E" w:rsidRPr="00081E05" w:rsidRDefault="002F158E" w:rsidP="00C679A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 xml:space="preserve">Efficient and flexible operation for both </w:t>
      </w:r>
      <w:proofErr w:type="spellStart"/>
      <w:r>
        <w:rPr>
          <w:bCs/>
        </w:rPr>
        <w:t>i</w:t>
      </w:r>
      <w:r w:rsidRPr="00081E05">
        <w:rPr>
          <w:bCs/>
        </w:rPr>
        <w:t>nband</w:t>
      </w:r>
      <w:proofErr w:type="spellEnd"/>
      <w:r w:rsidRPr="00081E05">
        <w:rPr>
          <w:bCs/>
        </w:rPr>
        <w:t xml:space="preserve"> and </w:t>
      </w:r>
      <w:proofErr w:type="spellStart"/>
      <w:r w:rsidRPr="00081E05">
        <w:rPr>
          <w:bCs/>
        </w:rPr>
        <w:t>outband</w:t>
      </w:r>
      <w:proofErr w:type="spellEnd"/>
      <w:r>
        <w:rPr>
          <w:bCs/>
        </w:rPr>
        <w:t xml:space="preserve"> relaying in indoor and outdoor scenarios </w:t>
      </w:r>
    </w:p>
    <w:p w:rsidR="002F158E" w:rsidRDefault="002F158E" w:rsidP="00C679A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M</w:t>
      </w:r>
      <w:r w:rsidRPr="00081E05">
        <w:rPr>
          <w:bCs/>
        </w:rPr>
        <w:t>ulti-hop and redundant connectivity</w:t>
      </w:r>
    </w:p>
    <w:p w:rsidR="002F158E" w:rsidRDefault="002F158E" w:rsidP="00C679A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End-to-end route selection and optimization</w:t>
      </w:r>
    </w:p>
    <w:p w:rsidR="002F158E" w:rsidRDefault="002F158E" w:rsidP="00C679A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Support of backhaul links with high spectral efficiency</w:t>
      </w:r>
    </w:p>
    <w:p w:rsidR="002F158E" w:rsidRPr="00081E05" w:rsidRDefault="002F158E" w:rsidP="00C679A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081E05">
        <w:rPr>
          <w:bCs/>
        </w:rPr>
        <w:t xml:space="preserve">Support of legacy </w:t>
      </w:r>
      <w:r>
        <w:rPr>
          <w:bCs/>
        </w:rPr>
        <w:t xml:space="preserve">NR </w:t>
      </w:r>
      <w:r w:rsidRPr="00081E05">
        <w:rPr>
          <w:bCs/>
        </w:rPr>
        <w:t>UEs</w:t>
      </w:r>
    </w:p>
    <w:p w:rsidR="000360A3" w:rsidRPr="008F650A" w:rsidRDefault="000360A3" w:rsidP="008F650A">
      <w:pPr>
        <w:rPr>
          <w:sz w:val="22"/>
        </w:rPr>
      </w:pPr>
    </w:p>
    <w:p w:rsidR="008F650A" w:rsidRDefault="008F650A" w:rsidP="008F650A">
      <w:pPr>
        <w:rPr>
          <w:sz w:val="22"/>
        </w:rPr>
      </w:pPr>
      <w:r w:rsidRPr="008F650A">
        <w:rPr>
          <w:sz w:val="22"/>
        </w:rPr>
        <w:t xml:space="preserve">In this </w:t>
      </w:r>
      <w:r w:rsidR="00894C02">
        <w:rPr>
          <w:sz w:val="22"/>
        </w:rPr>
        <w:t>document</w:t>
      </w:r>
      <w:r w:rsidRPr="008F650A">
        <w:rPr>
          <w:sz w:val="22"/>
        </w:rPr>
        <w:t xml:space="preserve">, we </w:t>
      </w:r>
      <w:r>
        <w:rPr>
          <w:sz w:val="22"/>
        </w:rPr>
        <w:t xml:space="preserve">discuss </w:t>
      </w:r>
      <w:r w:rsidR="00DA41CA">
        <w:rPr>
          <w:sz w:val="22"/>
        </w:rPr>
        <w:t xml:space="preserve">architecture </w:t>
      </w:r>
      <w:r w:rsidR="00F00CF7">
        <w:rPr>
          <w:sz w:val="22"/>
        </w:rPr>
        <w:t>considerations</w:t>
      </w:r>
      <w:r w:rsidR="00DA41CA">
        <w:rPr>
          <w:sz w:val="22"/>
        </w:rPr>
        <w:t xml:space="preserve"> that should be addressed in the IAB study.</w:t>
      </w:r>
    </w:p>
    <w:p w:rsidR="00387427" w:rsidRDefault="00387427" w:rsidP="008F650A">
      <w:pPr>
        <w:rPr>
          <w:sz w:val="22"/>
        </w:rPr>
      </w:pPr>
      <w:r>
        <w:rPr>
          <w:sz w:val="22"/>
        </w:rPr>
        <w:t>The following terminology is used in this document: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IAB-node:</w:t>
      </w:r>
      <w:r>
        <w:t xml:space="preserve"> </w:t>
      </w:r>
      <w:r w:rsidR="00BA4023">
        <w:t>A</w:t>
      </w:r>
      <w:r>
        <w:t xml:space="preserve"> RAN-node that provides IAB functionality, i.e. access for UEs combined with wireless self-backhauling</w:t>
      </w:r>
      <w:r w:rsidR="00554A31">
        <w:t xml:space="preserve"> capabilities</w:t>
      </w:r>
      <w:r>
        <w:t>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Donor:</w:t>
      </w:r>
      <w:r>
        <w:t xml:space="preserve"> </w:t>
      </w:r>
      <w:r w:rsidR="00447B92">
        <w:t xml:space="preserve">A </w:t>
      </w:r>
      <w:r>
        <w:t>RAN-node that terminates Ng interface with core network.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Path:</w:t>
      </w:r>
      <w:r>
        <w:t xml:space="preserve"> A </w:t>
      </w:r>
      <w:r w:rsidR="00620DDD">
        <w:t xml:space="preserve">transport connection consistent of a </w:t>
      </w:r>
      <w:r>
        <w:t xml:space="preserve">sequence of </w:t>
      </w:r>
      <w:r w:rsidR="00620DDD">
        <w:t xml:space="preserve">physical </w:t>
      </w:r>
      <w:r>
        <w:t>links.</w:t>
      </w:r>
    </w:p>
    <w:p w:rsidR="00E65130" w:rsidRDefault="00E65130" w:rsidP="008F650A">
      <w:pPr>
        <w:rPr>
          <w:sz w:val="22"/>
        </w:rPr>
      </w:pPr>
    </w:p>
    <w:p w:rsidR="00387427" w:rsidRPr="008F650A" w:rsidRDefault="00387427" w:rsidP="008F650A">
      <w:pPr>
        <w:rPr>
          <w:sz w:val="22"/>
        </w:rPr>
      </w:pPr>
    </w:p>
    <w:p w:rsidR="00BB7889" w:rsidRDefault="00405B3C" w:rsidP="00C23B88">
      <w:pPr>
        <w:pStyle w:val="Heading1"/>
        <w:rPr>
          <w:rFonts w:eastAsia="SimSun"/>
          <w:lang w:eastAsia="zh-CN"/>
        </w:rPr>
      </w:pPr>
      <w:r w:rsidRPr="00C23B88">
        <w:lastRenderedPageBreak/>
        <w:t>Discussion</w:t>
      </w:r>
    </w:p>
    <w:p w:rsidR="004D0E2C" w:rsidRDefault="004D0E2C" w:rsidP="004D0E2C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 w:rsidRPr="004D0E2C">
        <w:rPr>
          <w:b/>
          <w:noProof/>
        </w:rPr>
        <w:drawing>
          <wp:inline distT="0" distB="0" distL="0" distR="0" wp14:anchorId="3F5D9CD4">
            <wp:extent cx="3770407" cy="2563084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449" cy="2567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0E2C" w:rsidRDefault="004D0E2C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4D0E2C" w:rsidRPr="003B504D" w:rsidRDefault="004D0E2C" w:rsidP="003B504D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3B504D">
        <w:t xml:space="preserve">Figure 1: </w:t>
      </w:r>
      <w:r w:rsidR="003B504D" w:rsidRPr="003B504D">
        <w:t xml:space="preserve">NR access link and IAB with NR access link and backhaul link, where backhaul link leverages specifications </w:t>
      </w:r>
      <w:r w:rsidR="003B504D">
        <w:t>from</w:t>
      </w:r>
      <w:r w:rsidR="003B504D" w:rsidRPr="003B504D">
        <w:t xml:space="preserve"> NR access link.</w:t>
      </w:r>
    </w:p>
    <w:p w:rsidR="004D0E2C" w:rsidRDefault="004D0E2C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211BB7" w:rsidRPr="00A510C9" w:rsidRDefault="00F02B96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IAB b</w:t>
      </w:r>
      <w:r w:rsidR="00211BB7" w:rsidRPr="00A510C9">
        <w:rPr>
          <w:b/>
          <w:u w:val="single"/>
        </w:rPr>
        <w:t>ackhaul link</w:t>
      </w:r>
    </w:p>
    <w:p w:rsidR="002D23B5" w:rsidRDefault="00A2230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NR-access link</w:t>
      </w:r>
      <w:r w:rsidR="00F02B96">
        <w:t xml:space="preserve"> </w:t>
      </w:r>
      <w:r>
        <w:t>is hierarchical in nature</w:t>
      </w:r>
      <w:r w:rsidR="00F02B96">
        <w:t>,</w:t>
      </w:r>
      <w:r w:rsidR="00122E3A">
        <w:t xml:space="preserve"> </w:t>
      </w:r>
      <w:r w:rsidR="00F02B96">
        <w:t>where</w:t>
      </w:r>
      <w:r w:rsidR="00122E3A">
        <w:t xml:space="preserve"> the access </w:t>
      </w:r>
      <w:r w:rsidR="002D23B5">
        <w:t xml:space="preserve">node holds </w:t>
      </w:r>
      <w:r w:rsidR="00122E3A">
        <w:t xml:space="preserve">the main </w:t>
      </w:r>
      <w:r w:rsidR="002D23B5">
        <w:t>control functionality</w:t>
      </w:r>
      <w:r w:rsidR="00122E3A">
        <w:t xml:space="preserve"> and exchanges traffic between UE and core network</w:t>
      </w:r>
      <w:r w:rsidR="002D23B5">
        <w:t>.</w:t>
      </w:r>
      <w:r w:rsidR="00F02B96">
        <w:t xml:space="preserve"> For the </w:t>
      </w:r>
      <w:r w:rsidR="0063076B">
        <w:t>IAB</w:t>
      </w:r>
      <w:r w:rsidR="00F02B96">
        <w:t xml:space="preserve"> backhaul link, it would be convenient to leverage specifications defined for the NR-access</w:t>
      </w:r>
      <w:r w:rsidR="00907CE4">
        <w:t xml:space="preserve"> </w:t>
      </w:r>
      <w:r w:rsidR="00F02B96">
        <w:t xml:space="preserve">link since this would highly reduce standardization efforts. </w:t>
      </w:r>
    </w:p>
    <w:p w:rsidR="002D23B5" w:rsidRDefault="002D23B5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02B96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Observation 1:</w:t>
      </w:r>
      <w:r>
        <w:t xml:space="preserve"> </w:t>
      </w:r>
      <w:r w:rsidR="00AF1F1B">
        <w:t>Leveraging for the IAB backhaul link specifications defined for the</w:t>
      </w:r>
      <w:r>
        <w:t xml:space="preserve"> NR-access</w:t>
      </w:r>
      <w:r w:rsidR="00AF1F1B">
        <w:t>-</w:t>
      </w:r>
      <w:r>
        <w:t xml:space="preserve">link can highly reduce standardization efforts. </w:t>
      </w:r>
    </w:p>
    <w:p w:rsidR="00F02B96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2D23B5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Proposal 1:</w:t>
      </w:r>
      <w:r>
        <w:t xml:space="preserve"> The study should make efforts to leverage NR-access</w:t>
      </w:r>
      <w:r w:rsidR="00BC7919">
        <w:t>-</w:t>
      </w:r>
      <w:r>
        <w:t>link specifications for the IAB backhaul link.</w:t>
      </w:r>
      <w:r w:rsidR="002D23B5">
        <w:t xml:space="preserve">  </w:t>
      </w:r>
    </w:p>
    <w:p w:rsidR="0063076B" w:rsidRDefault="0063076B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211BB7" w:rsidRDefault="00211BB7" w:rsidP="00CB3748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</w:p>
    <w:p w:rsidR="00CB3748" w:rsidRDefault="0050247B" w:rsidP="00CB3748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 w:rsidRPr="0050247B">
        <w:rPr>
          <w:b/>
          <w:noProof/>
        </w:rPr>
        <w:drawing>
          <wp:inline distT="0" distB="0" distL="0" distR="0" wp14:anchorId="6A0DEFEC">
            <wp:extent cx="4126558" cy="24428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400" cy="2446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3748" w:rsidRPr="0069766A" w:rsidRDefault="00CB3748" w:rsidP="00CB3748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69766A">
        <w:t xml:space="preserve">Figure </w:t>
      </w:r>
      <w:r w:rsidR="0069766A" w:rsidRPr="0069766A">
        <w:t>2</w:t>
      </w:r>
      <w:r w:rsidR="004710C4" w:rsidRPr="0069766A">
        <w:t xml:space="preserve">: </w:t>
      </w:r>
      <w:r w:rsidRPr="0069766A">
        <w:t xml:space="preserve">IAB </w:t>
      </w:r>
      <w:r w:rsidR="004710C4" w:rsidRPr="0069766A">
        <w:t xml:space="preserve">for NR integrated into </w:t>
      </w:r>
      <w:r w:rsidRPr="0069766A">
        <w:t>5G architecture options 2 and 3</w:t>
      </w:r>
    </w:p>
    <w:p w:rsidR="00CB3748" w:rsidRPr="0069766A" w:rsidRDefault="00CB3748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u w:val="single"/>
        </w:rPr>
      </w:pPr>
    </w:p>
    <w:p w:rsidR="004710C4" w:rsidRDefault="004710C4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554A31" w:rsidRPr="00980D9D" w:rsidRDefault="00E931EE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Compliance</w:t>
      </w:r>
      <w:r w:rsidR="00554A31" w:rsidRPr="00980D9D">
        <w:rPr>
          <w:b/>
          <w:u w:val="single"/>
        </w:rPr>
        <w:t xml:space="preserve"> with 5G architecture options </w:t>
      </w:r>
    </w:p>
    <w:p w:rsidR="00F40734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Rel-15 supports 5G architecture option 2 (SA + NGC) and option 3 (NSA + EPC) for UE access. </w:t>
      </w:r>
      <w:r w:rsidR="00F40734">
        <w:t xml:space="preserve">IAB can be expected beneficial for deployments </w:t>
      </w:r>
      <w:r w:rsidR="00826E1D">
        <w:t>using</w:t>
      </w:r>
      <w:r w:rsidR="00F40734">
        <w:t xml:space="preserve"> 5G architecture option 2 or option 3</w:t>
      </w:r>
      <w:r w:rsidR="00E641F7">
        <w:t xml:space="preserve"> for UE access</w:t>
      </w:r>
      <w:r w:rsidR="00F40734">
        <w:t>.</w:t>
      </w:r>
    </w:p>
    <w:p w:rsidR="00980D9D" w:rsidRDefault="00980D9D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554A31" w:rsidRDefault="00554A31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980D9D">
        <w:rPr>
          <w:b/>
        </w:rPr>
        <w:lastRenderedPageBreak/>
        <w:t>Observation</w:t>
      </w:r>
      <w:r w:rsidR="003D1D9F">
        <w:rPr>
          <w:b/>
        </w:rPr>
        <w:t xml:space="preserve"> 2</w:t>
      </w:r>
      <w:r w:rsidRPr="00980D9D">
        <w:rPr>
          <w:b/>
        </w:rPr>
        <w:t>:</w:t>
      </w:r>
      <w:r>
        <w:t xml:space="preserve"> IAB can be expected beneficial for deployments according to 5G architecture option 2 </w:t>
      </w:r>
      <w:r w:rsidR="00F40734">
        <w:t>and</w:t>
      </w:r>
      <w:r>
        <w:t xml:space="preserve"> option 3 for NR access.</w:t>
      </w:r>
    </w:p>
    <w:p w:rsidR="00980D9D" w:rsidRDefault="00980D9D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554A31" w:rsidRDefault="00554A31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980D9D">
        <w:rPr>
          <w:b/>
        </w:rPr>
        <w:t>Proposal</w:t>
      </w:r>
      <w:r w:rsidR="00F40734">
        <w:rPr>
          <w:b/>
        </w:rPr>
        <w:t xml:space="preserve"> </w:t>
      </w:r>
      <w:r w:rsidR="003D1D9F">
        <w:rPr>
          <w:b/>
        </w:rPr>
        <w:t>2</w:t>
      </w:r>
      <w:r w:rsidRPr="00980D9D">
        <w:rPr>
          <w:b/>
        </w:rPr>
        <w:t>:</w:t>
      </w:r>
      <w:r>
        <w:t xml:space="preserve"> IAB should support deployments that provide UE</w:t>
      </w:r>
      <w:r w:rsidR="00F40734">
        <w:t>-</w:t>
      </w:r>
      <w:r>
        <w:t>access based on 5G architecture option 2 and 3.</w:t>
      </w:r>
    </w:p>
    <w:p w:rsidR="00554A31" w:rsidRDefault="00554A31" w:rsidP="00554A31">
      <w:pPr>
        <w:pStyle w:val="ListParagraph"/>
        <w:ind w:left="1440" w:firstLine="400"/>
      </w:pPr>
    </w:p>
    <w:p w:rsidR="00554A31" w:rsidRPr="00F40734" w:rsidRDefault="0032268E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Integration of IAB-nodes into core network</w:t>
      </w:r>
    </w:p>
    <w:p w:rsidR="00554A31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IAB-nodes need to integrate into the core network. Rel-15 supports 5G architecture options with either NGC (option 2) or EPC (option 3) for UE-access. It is therefore perceivable that </w:t>
      </w:r>
      <w:r w:rsidR="006D5DBA">
        <w:t>in some deployments,</w:t>
      </w:r>
      <w:r>
        <w:t xml:space="preserve"> either NGC or EPC is available</w:t>
      </w:r>
      <w:r w:rsidR="006D5DBA">
        <w:t>,</w:t>
      </w:r>
      <w:r>
        <w:t xml:space="preserve"> but not both.</w:t>
      </w:r>
    </w:p>
    <w:p w:rsidR="00F40734" w:rsidRDefault="00F40734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Observation</w:t>
      </w:r>
      <w:r w:rsidR="003D1D9F">
        <w:rPr>
          <w:b/>
        </w:rPr>
        <w:t xml:space="preserve"> 3</w:t>
      </w:r>
      <w:r w:rsidRPr="00F40734">
        <w:rPr>
          <w:b/>
        </w:rPr>
        <w:t>:</w:t>
      </w:r>
      <w:r>
        <w:t xml:space="preserve"> When combining IAB with 5G-architecture option 3, only EPC may be available for IAB-node integration.</w:t>
      </w:r>
    </w:p>
    <w:p w:rsidR="00F40734" w:rsidRDefault="00F40734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Proposal</w:t>
      </w:r>
      <w:r w:rsidR="00F40734">
        <w:rPr>
          <w:b/>
        </w:rPr>
        <w:t xml:space="preserve"> </w:t>
      </w:r>
      <w:r w:rsidR="003D1D9F">
        <w:rPr>
          <w:b/>
        </w:rPr>
        <w:t>3</w:t>
      </w:r>
      <w:r w:rsidRPr="00F40734">
        <w:rPr>
          <w:b/>
        </w:rPr>
        <w:t>:</w:t>
      </w:r>
      <w:r>
        <w:t xml:space="preserve"> The study should evaluate if and how integration of IAB-nodes should be supported in case UE-based access uses EPC (option 3). </w:t>
      </w:r>
    </w:p>
    <w:p w:rsidR="0032268E" w:rsidRDefault="0032268E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32268E" w:rsidRPr="00F40734" w:rsidRDefault="00ED562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 xml:space="preserve">Core-network </w:t>
      </w:r>
      <w:r w:rsidR="00541A68">
        <w:rPr>
          <w:b/>
          <w:u w:val="single"/>
        </w:rPr>
        <w:t>involvement for</w:t>
      </w:r>
      <w:r w:rsidR="0032268E">
        <w:rPr>
          <w:b/>
          <w:u w:val="single"/>
        </w:rPr>
        <w:t xml:space="preserve"> IAB </w:t>
      </w:r>
      <w:r w:rsidR="00541A68">
        <w:rPr>
          <w:b/>
          <w:u w:val="single"/>
        </w:rPr>
        <w:t>reconfiguration</w:t>
      </w: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Dynamic changes of IAB topology and IAB routes may </w:t>
      </w:r>
      <w:r w:rsidR="00AF35DB">
        <w:t>create</w:t>
      </w:r>
      <w:r>
        <w:t xml:space="preserve"> additional core network signalling</w:t>
      </w:r>
      <w:r w:rsidR="006F5E84">
        <w:t xml:space="preserve"> load</w:t>
      </w:r>
      <w:r>
        <w:t>. It is important to keep th</w:t>
      </w:r>
      <w:r w:rsidR="00AF35DB">
        <w:t>is signalling at adequate level</w:t>
      </w:r>
      <w:r>
        <w:t>.</w:t>
      </w:r>
      <w:r w:rsidR="00541A68">
        <w:t xml:space="preserve"> Core network involvement may also add control-plane latency.</w:t>
      </w: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Observation</w:t>
      </w:r>
      <w:r>
        <w:rPr>
          <w:b/>
        </w:rPr>
        <w:t xml:space="preserve"> </w:t>
      </w:r>
      <w:r w:rsidR="00AF35DB">
        <w:rPr>
          <w:b/>
        </w:rPr>
        <w:t>4</w:t>
      </w:r>
      <w:r w:rsidRPr="00F40734">
        <w:rPr>
          <w:b/>
        </w:rPr>
        <w:t>:</w:t>
      </w:r>
      <w:r>
        <w:t xml:space="preserve"> </w:t>
      </w:r>
      <w:r w:rsidR="00AF35DB">
        <w:t>Dynamic changes of IAB topology and IAB routes may create additional core network signalling</w:t>
      </w:r>
      <w:r w:rsidR="00541A68">
        <w:t xml:space="preserve"> </w:t>
      </w:r>
      <w:r w:rsidR="006F5E84">
        <w:t>load</w:t>
      </w:r>
      <w:r w:rsidR="00AF35DB">
        <w:t>.</w:t>
      </w: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2268E" w:rsidRDefault="0032268E" w:rsidP="0032268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Proposal</w:t>
      </w:r>
      <w:r>
        <w:rPr>
          <w:b/>
        </w:rPr>
        <w:t xml:space="preserve"> </w:t>
      </w:r>
      <w:r w:rsidR="00AF35DB">
        <w:rPr>
          <w:b/>
        </w:rPr>
        <w:t>4</w:t>
      </w:r>
      <w:r w:rsidRPr="00F40734">
        <w:rPr>
          <w:b/>
        </w:rPr>
        <w:t>:</w:t>
      </w:r>
      <w:r>
        <w:t xml:space="preserve"> The </w:t>
      </w:r>
      <w:r w:rsidR="00F073F1">
        <w:t>core network signalling load</w:t>
      </w:r>
      <w:r w:rsidR="00100C4E">
        <w:t xml:space="preserve"> </w:t>
      </w:r>
      <w:r w:rsidR="00AF35DB">
        <w:t xml:space="preserve">due to dynamic changes of IAB topology and IAB routes </w:t>
      </w:r>
      <w:r w:rsidR="00100C4E">
        <w:t xml:space="preserve">should be kept </w:t>
      </w:r>
      <w:r w:rsidR="006F5E84">
        <w:t>small</w:t>
      </w:r>
      <w:r>
        <w:t xml:space="preserve">. </w:t>
      </w:r>
    </w:p>
    <w:p w:rsidR="0032268E" w:rsidRDefault="0032268E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2268E" w:rsidRDefault="0032268E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E931EE" w:rsidP="0069766A">
      <w:pPr>
        <w:pStyle w:val="ListParagraph"/>
        <w:ind w:firstLine="400"/>
        <w:jc w:val="center"/>
      </w:pPr>
      <w:r>
        <w:rPr>
          <w:noProof/>
        </w:rPr>
        <w:drawing>
          <wp:inline distT="0" distB="0" distL="0" distR="0" wp14:anchorId="67431A19">
            <wp:extent cx="1926675" cy="2260223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435" cy="226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766A" w:rsidRPr="0069766A" w:rsidRDefault="0069766A" w:rsidP="0069766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69766A">
        <w:t xml:space="preserve">Figure </w:t>
      </w:r>
      <w:r>
        <w:t>3</w:t>
      </w:r>
      <w:r w:rsidRPr="0069766A">
        <w:t xml:space="preserve">: </w:t>
      </w:r>
      <w:r>
        <w:t xml:space="preserve">Example where </w:t>
      </w:r>
      <w:r w:rsidR="003D1D98">
        <w:t xml:space="preserve">IAB is used together with </w:t>
      </w:r>
      <w:r w:rsidR="00F53CFF">
        <w:t xml:space="preserve">CU/DU split architecture </w:t>
      </w:r>
    </w:p>
    <w:p w:rsidR="0069766A" w:rsidRPr="0069766A" w:rsidRDefault="0069766A" w:rsidP="0069766A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u w:val="single"/>
        </w:rPr>
      </w:pPr>
    </w:p>
    <w:p w:rsidR="0069766A" w:rsidRDefault="0069766A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554A31" w:rsidRPr="00F40734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F40734">
        <w:rPr>
          <w:b/>
          <w:u w:val="single"/>
        </w:rPr>
        <w:t>Support of CU/DU split architecture</w:t>
      </w:r>
    </w:p>
    <w:p w:rsidR="00F40734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NR can be deployed via CU/DU split where DUs reside at the network edge while CUs reside in a data </w:t>
      </w:r>
      <w:proofErr w:type="spellStart"/>
      <w:r>
        <w:t>center</w:t>
      </w:r>
      <w:proofErr w:type="spellEnd"/>
      <w:r>
        <w:t xml:space="preserve">. </w:t>
      </w:r>
      <w:r w:rsidR="00F40734">
        <w:t xml:space="preserve">IAB may </w:t>
      </w:r>
      <w:r w:rsidR="00AA5094">
        <w:t>be</w:t>
      </w:r>
      <w:r w:rsidR="00F40734">
        <w:t xml:space="preserve"> useful for range extension in deployments that use CU/DU-split architecture.</w:t>
      </w:r>
    </w:p>
    <w:p w:rsidR="00554A31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40734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Observation</w:t>
      </w:r>
      <w:r w:rsidR="003D1D9F">
        <w:rPr>
          <w:b/>
        </w:rPr>
        <w:t xml:space="preserve"> </w:t>
      </w:r>
      <w:r w:rsidR="00AF35DB">
        <w:rPr>
          <w:b/>
        </w:rPr>
        <w:t>5</w:t>
      </w:r>
      <w:r w:rsidRPr="00F40734">
        <w:rPr>
          <w:b/>
        </w:rPr>
        <w:t>:</w:t>
      </w:r>
      <w:r>
        <w:t xml:space="preserve"> </w:t>
      </w:r>
      <w:r w:rsidR="00F40734">
        <w:t xml:space="preserve">IAB may </w:t>
      </w:r>
      <w:r w:rsidR="00907CE4">
        <w:t>be</w:t>
      </w:r>
      <w:r w:rsidR="00F40734">
        <w:t xml:space="preserve"> useful for range extension in deployments that use CU/DU-split architecture.</w:t>
      </w:r>
    </w:p>
    <w:p w:rsidR="00F40734" w:rsidRDefault="00F40734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0734">
        <w:rPr>
          <w:b/>
        </w:rPr>
        <w:t>Proposal</w:t>
      </w:r>
      <w:r w:rsidR="00F40734">
        <w:rPr>
          <w:b/>
        </w:rPr>
        <w:t xml:space="preserve"> </w:t>
      </w:r>
      <w:r w:rsidR="00AF35DB">
        <w:rPr>
          <w:b/>
        </w:rPr>
        <w:t>5</w:t>
      </w:r>
      <w:r w:rsidRPr="00F40734">
        <w:rPr>
          <w:b/>
        </w:rPr>
        <w:t>:</w:t>
      </w:r>
      <w:r>
        <w:t xml:space="preserve"> The study should include deployment scenarios where UE-based access uses CU/DU-split and IAB extends the fronthaul at the network edge. </w:t>
      </w:r>
    </w:p>
    <w:p w:rsidR="00A352EC" w:rsidRDefault="00A352EC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352EC" w:rsidRDefault="00A352EC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Pr="00A352EC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352EC">
        <w:rPr>
          <w:b/>
          <w:u w:val="single"/>
        </w:rPr>
        <w:lastRenderedPageBreak/>
        <w:t xml:space="preserve">Security </w:t>
      </w:r>
      <w:r w:rsidR="00A352EC" w:rsidRPr="00A352EC">
        <w:rPr>
          <w:b/>
          <w:u w:val="single"/>
        </w:rPr>
        <w:t>considerations</w:t>
      </w:r>
    </w:p>
    <w:p w:rsidR="00A352EC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IAB-node and backhaul link need to provide sufficient security.</w:t>
      </w:r>
      <w:r w:rsidR="00A352EC" w:rsidRPr="00A352EC">
        <w:t xml:space="preserve"> </w:t>
      </w:r>
      <w:r w:rsidR="00A352EC">
        <w:t xml:space="preserve">Since the IAB-node provides access-related functionality like a small-cell </w:t>
      </w:r>
      <w:proofErr w:type="spellStart"/>
      <w:r w:rsidR="00A352EC">
        <w:t>gNB</w:t>
      </w:r>
      <w:proofErr w:type="spellEnd"/>
      <w:r w:rsidR="00A352EC">
        <w:t xml:space="preserve"> or small-cell </w:t>
      </w:r>
      <w:proofErr w:type="spellStart"/>
      <w:r w:rsidR="00A352EC">
        <w:t>gNB</w:t>
      </w:r>
      <w:proofErr w:type="spellEnd"/>
      <w:r w:rsidR="00A352EC">
        <w:t>-DU the same security considerations apply.</w:t>
      </w:r>
      <w:r w:rsidR="00A352EC" w:rsidRPr="00A352EC">
        <w:t xml:space="preserve"> </w:t>
      </w:r>
      <w:r w:rsidR="00A352EC">
        <w:t>Further, due to its wireless nature, the same security concerns apply to the backhaul link as to the wireless access link.</w:t>
      </w:r>
    </w:p>
    <w:p w:rsidR="00554A31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352EC">
        <w:rPr>
          <w:b/>
        </w:rPr>
        <w:t>Observation</w:t>
      </w:r>
      <w:r w:rsidR="003D1D9F">
        <w:rPr>
          <w:b/>
        </w:rPr>
        <w:t xml:space="preserve"> </w:t>
      </w:r>
      <w:r w:rsidR="00AF35DB">
        <w:rPr>
          <w:b/>
        </w:rPr>
        <w:t>6</w:t>
      </w:r>
      <w:r w:rsidRPr="00A352EC">
        <w:rPr>
          <w:b/>
        </w:rPr>
        <w:t>:</w:t>
      </w:r>
      <w:r>
        <w:t xml:space="preserve"> Since the IAB-node provides access-related functionality like a small-cell </w:t>
      </w:r>
      <w:proofErr w:type="spellStart"/>
      <w:r>
        <w:t>gNB</w:t>
      </w:r>
      <w:proofErr w:type="spellEnd"/>
      <w:r>
        <w:t xml:space="preserve"> or small-cell </w:t>
      </w:r>
      <w:proofErr w:type="spellStart"/>
      <w:r>
        <w:t>gNB</w:t>
      </w:r>
      <w:proofErr w:type="spellEnd"/>
      <w:r>
        <w:t xml:space="preserve">-DU the same security considerations apply. </w:t>
      </w:r>
    </w:p>
    <w:p w:rsidR="00A352EC" w:rsidRDefault="00A352EC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352EC">
        <w:rPr>
          <w:b/>
        </w:rPr>
        <w:t>Observation</w:t>
      </w:r>
      <w:r w:rsidR="003D1D9F">
        <w:rPr>
          <w:b/>
        </w:rPr>
        <w:t xml:space="preserve"> </w:t>
      </w:r>
      <w:r w:rsidR="00AF35DB">
        <w:rPr>
          <w:b/>
        </w:rPr>
        <w:t>7</w:t>
      </w:r>
      <w:r w:rsidRPr="00A352EC">
        <w:rPr>
          <w:b/>
        </w:rPr>
        <w:t>:</w:t>
      </w:r>
      <w:r>
        <w:t xml:space="preserve"> Due to its wireless nature, the same security concerns apply to the backhaul link as to the wireless access link.</w:t>
      </w:r>
    </w:p>
    <w:p w:rsidR="00A352EC" w:rsidRDefault="00A352EC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A352E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352EC">
        <w:rPr>
          <w:b/>
        </w:rPr>
        <w:t>Proposal</w:t>
      </w:r>
      <w:r w:rsidR="00A352EC" w:rsidRPr="00A352EC">
        <w:rPr>
          <w:b/>
        </w:rPr>
        <w:t xml:space="preserve"> </w:t>
      </w:r>
      <w:r w:rsidR="00AF35DB">
        <w:rPr>
          <w:b/>
        </w:rPr>
        <w:t>6</w:t>
      </w:r>
      <w:r w:rsidRPr="00A352EC">
        <w:rPr>
          <w:b/>
        </w:rPr>
        <w:t>:</w:t>
      </w:r>
      <w:r>
        <w:t xml:space="preserve"> The IAB-node should be as trusted (and not more) as a small-cell </w:t>
      </w:r>
      <w:proofErr w:type="spellStart"/>
      <w:r>
        <w:t>gNB</w:t>
      </w:r>
      <w:proofErr w:type="spellEnd"/>
      <w:r>
        <w:t xml:space="preserve"> and should provide comparable link security as the access link.</w:t>
      </w:r>
    </w:p>
    <w:p w:rsidR="00554A31" w:rsidRDefault="00554A31" w:rsidP="00207021">
      <w:pPr>
        <w:rPr>
          <w:b/>
          <w:sz w:val="22"/>
        </w:rPr>
      </w:pPr>
    </w:p>
    <w:p w:rsidR="00544ACA" w:rsidRPr="00544ACA" w:rsidRDefault="00544ACA" w:rsidP="00544ACA">
      <w:pPr>
        <w:rPr>
          <w:rFonts w:eastAsia="SimSun"/>
          <w:b/>
          <w:lang w:eastAsia="zh-CN"/>
        </w:rPr>
      </w:pPr>
    </w:p>
    <w:p w:rsidR="00877A98" w:rsidRPr="00FA4CFC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:rsidR="00CA5044" w:rsidRPr="00054259" w:rsidRDefault="00894C02" w:rsidP="00CA5044">
      <w:pPr>
        <w:rPr>
          <w:sz w:val="22"/>
          <w:szCs w:val="22"/>
        </w:rPr>
      </w:pPr>
      <w:r w:rsidRPr="00054259">
        <w:rPr>
          <w:sz w:val="22"/>
          <w:szCs w:val="22"/>
        </w:rPr>
        <w:t xml:space="preserve">In this document, </w:t>
      </w:r>
      <w:r w:rsidR="00F00CF7" w:rsidRPr="008F650A">
        <w:rPr>
          <w:sz w:val="22"/>
        </w:rPr>
        <w:t xml:space="preserve">we </w:t>
      </w:r>
      <w:r w:rsidR="00F00CF7">
        <w:rPr>
          <w:sz w:val="22"/>
        </w:rPr>
        <w:t>discuss architecture aspects that should be addressed in the IAB study. The following aspects should be considered in the study</w:t>
      </w:r>
      <w:r w:rsidR="00CA5044" w:rsidRPr="00054259">
        <w:rPr>
          <w:sz w:val="22"/>
          <w:szCs w:val="22"/>
        </w:rPr>
        <w:t>:</w:t>
      </w:r>
    </w:p>
    <w:p w:rsid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t xml:space="preserve">Observation 1: Leveraging for the IAB backhaul link specifications defined for the NR-access-link can highly reduce standardization efforts. 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3D1D9F">
        <w:rPr>
          <w:b/>
          <w:u w:val="single"/>
        </w:rPr>
        <w:t xml:space="preserve">Proposal 1: The study should make efforts to leverage NR-access-link specifications for the IAB backhaul link.  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t>Observation 2: IAB can be expected beneficial for deployments according to 5G architecture option 2 and option 3 for NR access.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3D1D9F">
        <w:rPr>
          <w:b/>
          <w:u w:val="single"/>
        </w:rPr>
        <w:t>Proposal 2: IAB should support deployments that provide UE-access based on 5G architecture option 2 and 3.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t>Observation 3: When combining IAB with 5G-architecture option 3, only EPC may be available for IAB-node integration.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3D1D9F">
        <w:rPr>
          <w:b/>
          <w:u w:val="single"/>
        </w:rPr>
        <w:t xml:space="preserve">Proposal 3: The study should evaluate if and how integration of IAB-nodes should be supported in case UE-based access uses EPC (option 3). 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B616A0" w:rsidRPr="00B616A0" w:rsidRDefault="00B616A0" w:rsidP="00B616A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B616A0">
        <w:rPr>
          <w:b/>
        </w:rPr>
        <w:t>Observation 4: Dynamic changes of IAB topology and IAB routes may create additional core network signalling load.</w:t>
      </w:r>
    </w:p>
    <w:p w:rsidR="00B616A0" w:rsidRPr="00B616A0" w:rsidRDefault="00B616A0" w:rsidP="00B616A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B616A0" w:rsidRPr="00B616A0" w:rsidRDefault="00B616A0" w:rsidP="00B616A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B616A0">
        <w:rPr>
          <w:b/>
          <w:u w:val="single"/>
        </w:rPr>
        <w:t xml:space="preserve">Proposal 4: The core network signalling load due to dynamic changes of IAB topology and IAB routes should be kept small. </w:t>
      </w:r>
    </w:p>
    <w:p w:rsidR="00B616A0" w:rsidRPr="00B616A0" w:rsidRDefault="00B616A0" w:rsidP="00B616A0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u w:val="single"/>
        </w:rPr>
      </w:pPr>
    </w:p>
    <w:p w:rsidR="00AF35DB" w:rsidRPr="003D1D9F" w:rsidRDefault="00AF35DB" w:rsidP="00AF35DB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t xml:space="preserve">Observation </w:t>
      </w:r>
      <w:r>
        <w:rPr>
          <w:b/>
        </w:rPr>
        <w:t>5</w:t>
      </w:r>
      <w:r w:rsidRPr="003D1D9F">
        <w:rPr>
          <w:b/>
        </w:rPr>
        <w:t xml:space="preserve">: IAB may </w:t>
      </w:r>
      <w:r w:rsidR="00907CE4">
        <w:rPr>
          <w:b/>
        </w:rPr>
        <w:t>be</w:t>
      </w:r>
      <w:r w:rsidRPr="003D1D9F">
        <w:rPr>
          <w:b/>
        </w:rPr>
        <w:t xml:space="preserve"> useful for range extension in deployments that use CU/DU-split architecture.</w:t>
      </w:r>
    </w:p>
    <w:p w:rsidR="00AF35DB" w:rsidRDefault="00AF35DB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3D1D9F">
        <w:rPr>
          <w:b/>
          <w:u w:val="single"/>
        </w:rPr>
        <w:t xml:space="preserve">Proposal </w:t>
      </w:r>
      <w:r w:rsidR="00AF35DB">
        <w:rPr>
          <w:b/>
          <w:u w:val="single"/>
        </w:rPr>
        <w:t>5</w:t>
      </w:r>
      <w:r w:rsidRPr="003D1D9F">
        <w:rPr>
          <w:b/>
          <w:u w:val="single"/>
        </w:rPr>
        <w:t xml:space="preserve">: The study should include deployment scenarios where UE-based access uses CU/DU-split and IAB extends the fronthaul at the network edge. 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t xml:space="preserve">Observation </w:t>
      </w:r>
      <w:r w:rsidR="00AF35DB">
        <w:rPr>
          <w:b/>
        </w:rPr>
        <w:t>6</w:t>
      </w:r>
      <w:r w:rsidRPr="003D1D9F">
        <w:rPr>
          <w:b/>
        </w:rPr>
        <w:t xml:space="preserve">: Since the IAB-node provides access-related functionality like a small-cell </w:t>
      </w:r>
      <w:proofErr w:type="spellStart"/>
      <w:r w:rsidRPr="003D1D9F">
        <w:rPr>
          <w:b/>
        </w:rPr>
        <w:t>gNB</w:t>
      </w:r>
      <w:proofErr w:type="spellEnd"/>
      <w:r w:rsidRPr="003D1D9F">
        <w:rPr>
          <w:b/>
        </w:rPr>
        <w:t xml:space="preserve"> or small-cell </w:t>
      </w:r>
      <w:proofErr w:type="spellStart"/>
      <w:r w:rsidRPr="003D1D9F">
        <w:rPr>
          <w:b/>
        </w:rPr>
        <w:t>gNB</w:t>
      </w:r>
      <w:proofErr w:type="spellEnd"/>
      <w:r w:rsidRPr="003D1D9F">
        <w:rPr>
          <w:b/>
        </w:rPr>
        <w:t xml:space="preserve">-DU the same security considerations apply. 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3D1D9F">
        <w:rPr>
          <w:b/>
        </w:rPr>
        <w:lastRenderedPageBreak/>
        <w:t xml:space="preserve">Observation </w:t>
      </w:r>
      <w:r w:rsidR="00AF35DB">
        <w:rPr>
          <w:b/>
        </w:rPr>
        <w:t>7</w:t>
      </w:r>
      <w:r w:rsidRPr="003D1D9F">
        <w:rPr>
          <w:b/>
        </w:rPr>
        <w:t>: Due to its wireless nature, the same security concerns apply to the backhaul link as to the wireless access link.</w:t>
      </w: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3D1D9F" w:rsidRPr="003D1D9F" w:rsidRDefault="003D1D9F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3D1D9F">
        <w:rPr>
          <w:b/>
          <w:u w:val="single"/>
        </w:rPr>
        <w:t xml:space="preserve">Proposal </w:t>
      </w:r>
      <w:r w:rsidR="00AF35DB">
        <w:rPr>
          <w:b/>
          <w:u w:val="single"/>
        </w:rPr>
        <w:t>6</w:t>
      </w:r>
      <w:r w:rsidRPr="003D1D9F">
        <w:rPr>
          <w:b/>
          <w:u w:val="single"/>
        </w:rPr>
        <w:t xml:space="preserve">: The IAB-node should be as trusted (and not more) as a small-cell </w:t>
      </w:r>
      <w:proofErr w:type="spellStart"/>
      <w:r w:rsidRPr="003D1D9F">
        <w:rPr>
          <w:b/>
          <w:u w:val="single"/>
        </w:rPr>
        <w:t>gNB</w:t>
      </w:r>
      <w:proofErr w:type="spellEnd"/>
      <w:r w:rsidRPr="003D1D9F">
        <w:rPr>
          <w:b/>
          <w:u w:val="single"/>
        </w:rPr>
        <w:t xml:space="preserve"> and should provide comparable link security as the access link.</w:t>
      </w:r>
    </w:p>
    <w:p w:rsidR="008358DE" w:rsidRPr="00581C51" w:rsidRDefault="008358DE">
      <w:pPr>
        <w:pStyle w:val="Doc-text2"/>
        <w:rPr>
          <w:rFonts w:eastAsia="SimSun"/>
          <w:sz w:val="22"/>
          <w:lang w:eastAsia="zh-CN"/>
        </w:rPr>
      </w:pPr>
    </w:p>
    <w:p w:rsidR="00A314B3" w:rsidRPr="006E13D1" w:rsidRDefault="00A314B3" w:rsidP="00A314B3">
      <w:pPr>
        <w:pStyle w:val="Heading1"/>
      </w:pPr>
      <w:r w:rsidRPr="006E13D1">
        <w:t>References</w:t>
      </w:r>
    </w:p>
    <w:p w:rsidR="00E82D24" w:rsidRDefault="00281A54" w:rsidP="00C679A5">
      <w:pPr>
        <w:numPr>
          <w:ilvl w:val="0"/>
          <w:numId w:val="4"/>
        </w:numPr>
      </w:pPr>
      <w:r>
        <w:t xml:space="preserve">3GPP </w:t>
      </w:r>
      <w:r w:rsidR="00E82D24">
        <w:t xml:space="preserve">TS </w:t>
      </w:r>
      <w:r>
        <w:t xml:space="preserve">22.261: </w:t>
      </w:r>
      <w:r w:rsidR="00E82D24">
        <w:t>Technical Specification Group Services and System Aspects;</w:t>
      </w:r>
      <w:r>
        <w:t xml:space="preserve"> </w:t>
      </w:r>
      <w:r w:rsidR="00E82D24">
        <w:t>Service requirements for next generation new services and markets;</w:t>
      </w:r>
      <w:r>
        <w:t xml:space="preserve"> </w:t>
      </w:r>
      <w:r w:rsidR="00E82D24">
        <w:t>Stage 1</w:t>
      </w:r>
      <w:r>
        <w:t xml:space="preserve"> </w:t>
      </w:r>
      <w:r w:rsidR="00E82D24">
        <w:t>(Release 15)</w:t>
      </w:r>
    </w:p>
    <w:p w:rsidR="00281A54" w:rsidRPr="00B2597F" w:rsidRDefault="00B2597F" w:rsidP="00C679A5">
      <w:pPr>
        <w:numPr>
          <w:ilvl w:val="0"/>
          <w:numId w:val="4"/>
        </w:numPr>
      </w:pPr>
      <w:r w:rsidRPr="00B2597F">
        <w:t>RP-170821: New SID Proposal: Study on Integrated Access and Backhaul for NR</w:t>
      </w:r>
      <w:r>
        <w:t>; TSG RAN Meeting #75,</w:t>
      </w:r>
      <w:r>
        <w:tab/>
        <w:t>Dubrovnik, Croatia, March 6 - 9, 2017</w:t>
      </w:r>
    </w:p>
    <w:p w:rsidR="00A314B3" w:rsidRPr="00581C51" w:rsidRDefault="00A314B3" w:rsidP="00A314B3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:rsidR="00586905" w:rsidRPr="00581C51" w:rsidRDefault="00586905" w:rsidP="00586905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sectPr w:rsidR="00586905" w:rsidRPr="00581C51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0F8" w:rsidRDefault="009A00F8">
      <w:r>
        <w:separator/>
      </w:r>
    </w:p>
  </w:endnote>
  <w:endnote w:type="continuationSeparator" w:id="0">
    <w:p w:rsidR="009A00F8" w:rsidRDefault="009A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304" w:rsidRDefault="009F53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0F8" w:rsidRDefault="009A00F8">
      <w:r>
        <w:separator/>
      </w:r>
    </w:p>
  </w:footnote>
  <w:footnote w:type="continuationSeparator" w:id="0">
    <w:p w:rsidR="009A00F8" w:rsidRDefault="009A0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2583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F28"/>
    <w:rsid w:val="0003564D"/>
    <w:rsid w:val="000360A3"/>
    <w:rsid w:val="000368DA"/>
    <w:rsid w:val="00040278"/>
    <w:rsid w:val="000402AB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C4E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120A"/>
    <w:rsid w:val="00122A38"/>
    <w:rsid w:val="00122E3A"/>
    <w:rsid w:val="00123389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F4D"/>
    <w:rsid w:val="0015524F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301C"/>
    <w:rsid w:val="00173B5D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F8C"/>
    <w:rsid w:val="001B57DA"/>
    <w:rsid w:val="001B659B"/>
    <w:rsid w:val="001B6B6A"/>
    <w:rsid w:val="001B7033"/>
    <w:rsid w:val="001B708E"/>
    <w:rsid w:val="001B72DC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1BB7"/>
    <w:rsid w:val="002122E4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3513"/>
    <w:rsid w:val="002436BD"/>
    <w:rsid w:val="00243F07"/>
    <w:rsid w:val="00244041"/>
    <w:rsid w:val="00244C32"/>
    <w:rsid w:val="00245132"/>
    <w:rsid w:val="002454B7"/>
    <w:rsid w:val="00245814"/>
    <w:rsid w:val="002458BE"/>
    <w:rsid w:val="00245CCE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23B5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8E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E3C"/>
    <w:rsid w:val="003442B0"/>
    <w:rsid w:val="003446BA"/>
    <w:rsid w:val="00344E1E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734"/>
    <w:rsid w:val="003765D2"/>
    <w:rsid w:val="00376966"/>
    <w:rsid w:val="00376D4B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56D"/>
    <w:rsid w:val="003D37D2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985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03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3001"/>
    <w:rsid w:val="0047422B"/>
    <w:rsid w:val="00474557"/>
    <w:rsid w:val="0047518D"/>
    <w:rsid w:val="00475E71"/>
    <w:rsid w:val="0047656F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3BBF"/>
    <w:rsid w:val="004F4340"/>
    <w:rsid w:val="004F4E02"/>
    <w:rsid w:val="004F52E1"/>
    <w:rsid w:val="004F6196"/>
    <w:rsid w:val="004F6373"/>
    <w:rsid w:val="004F6E37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1A68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FF7"/>
    <w:rsid w:val="005A0EB9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A78"/>
    <w:rsid w:val="005E740F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C92"/>
    <w:rsid w:val="006229C8"/>
    <w:rsid w:val="0062322C"/>
    <w:rsid w:val="00624600"/>
    <w:rsid w:val="00624F42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EB1"/>
    <w:rsid w:val="006B6F7C"/>
    <w:rsid w:val="006B77EA"/>
    <w:rsid w:val="006B79F4"/>
    <w:rsid w:val="006C146A"/>
    <w:rsid w:val="006C252A"/>
    <w:rsid w:val="006C26A2"/>
    <w:rsid w:val="006C2711"/>
    <w:rsid w:val="006C3804"/>
    <w:rsid w:val="006C3B84"/>
    <w:rsid w:val="006C3E81"/>
    <w:rsid w:val="006C43FA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239C"/>
    <w:rsid w:val="006D25C7"/>
    <w:rsid w:val="006D31C3"/>
    <w:rsid w:val="006D35A5"/>
    <w:rsid w:val="006D408E"/>
    <w:rsid w:val="006D4810"/>
    <w:rsid w:val="006D5DBA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5E84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69C3"/>
    <w:rsid w:val="00906E43"/>
    <w:rsid w:val="0090779F"/>
    <w:rsid w:val="00907CE4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61C4"/>
    <w:rsid w:val="009966A4"/>
    <w:rsid w:val="00996A33"/>
    <w:rsid w:val="00996D4D"/>
    <w:rsid w:val="00997814"/>
    <w:rsid w:val="00997E8B"/>
    <w:rsid w:val="009A00F8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1D1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412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6164"/>
    <w:rsid w:val="00A2629A"/>
    <w:rsid w:val="00A2647A"/>
    <w:rsid w:val="00A273D4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2FB"/>
    <w:rsid w:val="00A66377"/>
    <w:rsid w:val="00A66594"/>
    <w:rsid w:val="00A67B7C"/>
    <w:rsid w:val="00A70C69"/>
    <w:rsid w:val="00A70ED1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5DB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16A0"/>
    <w:rsid w:val="00B6280C"/>
    <w:rsid w:val="00B62B5B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6B8A"/>
    <w:rsid w:val="00BF7FE9"/>
    <w:rsid w:val="00C0008A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223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CA1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87A15"/>
    <w:rsid w:val="00C91634"/>
    <w:rsid w:val="00C91726"/>
    <w:rsid w:val="00C918DD"/>
    <w:rsid w:val="00C91DB5"/>
    <w:rsid w:val="00C91FEB"/>
    <w:rsid w:val="00C947D4"/>
    <w:rsid w:val="00C94AE3"/>
    <w:rsid w:val="00C94BF2"/>
    <w:rsid w:val="00C94EB4"/>
    <w:rsid w:val="00C950EA"/>
    <w:rsid w:val="00C9533C"/>
    <w:rsid w:val="00C96491"/>
    <w:rsid w:val="00C9779D"/>
    <w:rsid w:val="00CA0510"/>
    <w:rsid w:val="00CA0684"/>
    <w:rsid w:val="00CA084F"/>
    <w:rsid w:val="00CA1A4B"/>
    <w:rsid w:val="00CA1BB5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521C"/>
    <w:rsid w:val="00CF5499"/>
    <w:rsid w:val="00CF587C"/>
    <w:rsid w:val="00CF5CC0"/>
    <w:rsid w:val="00CF6143"/>
    <w:rsid w:val="00CF675E"/>
    <w:rsid w:val="00CF681C"/>
    <w:rsid w:val="00CF692C"/>
    <w:rsid w:val="00CF6ED0"/>
    <w:rsid w:val="00CF769A"/>
    <w:rsid w:val="00CF7DD7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666"/>
    <w:rsid w:val="00D41272"/>
    <w:rsid w:val="00D41A63"/>
    <w:rsid w:val="00D41FE7"/>
    <w:rsid w:val="00D4295D"/>
    <w:rsid w:val="00D42A1F"/>
    <w:rsid w:val="00D4476E"/>
    <w:rsid w:val="00D456F7"/>
    <w:rsid w:val="00D45C1B"/>
    <w:rsid w:val="00D46098"/>
    <w:rsid w:val="00D461CD"/>
    <w:rsid w:val="00D46F0A"/>
    <w:rsid w:val="00D47054"/>
    <w:rsid w:val="00D47DD5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5A7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41CA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62E2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8F2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8F5"/>
    <w:rsid w:val="00E24916"/>
    <w:rsid w:val="00E25331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5"/>
    <w:rsid w:val="00E55C34"/>
    <w:rsid w:val="00E56B62"/>
    <w:rsid w:val="00E57BC5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CA3"/>
    <w:rsid w:val="00ED3D23"/>
    <w:rsid w:val="00ED420A"/>
    <w:rsid w:val="00ED4723"/>
    <w:rsid w:val="00ED562E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F0454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9DC"/>
    <w:rsid w:val="00F05CED"/>
    <w:rsid w:val="00F05F67"/>
    <w:rsid w:val="00F062B5"/>
    <w:rsid w:val="00F0677E"/>
    <w:rsid w:val="00F06846"/>
    <w:rsid w:val="00F073F1"/>
    <w:rsid w:val="00F07553"/>
    <w:rsid w:val="00F10850"/>
    <w:rsid w:val="00F10E1B"/>
    <w:rsid w:val="00F114B6"/>
    <w:rsid w:val="00F11742"/>
    <w:rsid w:val="00F11BBB"/>
    <w:rsid w:val="00F11C02"/>
    <w:rsid w:val="00F1227B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350"/>
    <w:rsid w:val="00F4325A"/>
    <w:rsid w:val="00F432EC"/>
    <w:rsid w:val="00F43CCB"/>
    <w:rsid w:val="00F441D6"/>
    <w:rsid w:val="00F44881"/>
    <w:rsid w:val="00F44D57"/>
    <w:rsid w:val="00F45F39"/>
    <w:rsid w:val="00F46276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CFF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58D"/>
    <w:rsid w:val="00F94286"/>
    <w:rsid w:val="00F9452E"/>
    <w:rsid w:val="00F94662"/>
    <w:rsid w:val="00F947CA"/>
    <w:rsid w:val="00F95271"/>
    <w:rsid w:val="00F95382"/>
    <w:rsid w:val="00F95CA4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A38C3-063F-4C7E-BAFB-B7BCE2B8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5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2</cp:revision>
  <cp:lastPrinted>2016-08-09T16:44:00Z</cp:lastPrinted>
  <dcterms:created xsi:type="dcterms:W3CDTF">2018-01-10T18:56:00Z</dcterms:created>
  <dcterms:modified xsi:type="dcterms:W3CDTF">2018-01-10T18:56:00Z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</Properties>
</file>